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A70F" w14:textId="7F05A768" w:rsidR="00390E0E" w:rsidRPr="00AE4A4C" w:rsidRDefault="00AE4A4C" w:rsidP="005A11C1">
      <w:pPr>
        <w:spacing w:after="0" w:line="240" w:lineRule="auto"/>
        <w:rPr>
          <w:rFonts w:ascii="Verdana" w:hAnsi="Verdana"/>
          <w:b/>
        </w:rPr>
      </w:pPr>
      <w:r w:rsidRPr="00AE4A4C">
        <w:rPr>
          <w:rFonts w:ascii="Verdana" w:hAnsi="Verdana"/>
          <w:b/>
        </w:rPr>
        <w:t xml:space="preserve">Finansiel strategi for </w:t>
      </w:r>
      <w:r w:rsidR="00527F9F">
        <w:rPr>
          <w:rFonts w:ascii="Verdana" w:hAnsi="Verdana"/>
          <w:b/>
        </w:rPr>
        <w:t>CC institution</w:t>
      </w:r>
    </w:p>
    <w:p w14:paraId="1EDA1506" w14:textId="77777777" w:rsidR="005A11C1" w:rsidRDefault="005A11C1" w:rsidP="005A11C1">
      <w:pPr>
        <w:spacing w:after="0" w:line="240" w:lineRule="auto"/>
        <w:rPr>
          <w:b/>
        </w:rPr>
      </w:pPr>
    </w:p>
    <w:p w14:paraId="40A34E47" w14:textId="076A94C6" w:rsidR="00AE4A4C" w:rsidRPr="00AE4A4C" w:rsidRDefault="00AE4A4C" w:rsidP="005A11C1">
      <w:pPr>
        <w:spacing w:after="0" w:line="240" w:lineRule="auto"/>
        <w:rPr>
          <w:b/>
        </w:rPr>
      </w:pPr>
      <w:r w:rsidRPr="00AE4A4C">
        <w:rPr>
          <w:b/>
        </w:rPr>
        <w:t>Indledning</w:t>
      </w:r>
    </w:p>
    <w:p w14:paraId="53FEBE6D" w14:textId="3CA24070" w:rsidR="00AE4A4C" w:rsidRDefault="00AE4A4C" w:rsidP="005A11C1">
      <w:pPr>
        <w:spacing w:after="0" w:line="240" w:lineRule="auto"/>
      </w:pPr>
      <w:r>
        <w:t xml:space="preserve">Denne strategi fastlægger principper og rammer for </w:t>
      </w:r>
      <w:r w:rsidR="00EC2329">
        <w:t>institution</w:t>
      </w:r>
      <w:r>
        <w:t>ens styring af likvider midler og til sikring af et fastlagt kapitalberedskab.</w:t>
      </w:r>
    </w:p>
    <w:p w14:paraId="5906B686" w14:textId="77777777" w:rsidR="005A11C1" w:rsidRDefault="005A11C1" w:rsidP="005A11C1">
      <w:pPr>
        <w:spacing w:after="0" w:line="240" w:lineRule="auto"/>
        <w:rPr>
          <w:b/>
        </w:rPr>
      </w:pPr>
    </w:p>
    <w:p w14:paraId="132E4204" w14:textId="2F653749" w:rsidR="00AE4A4C" w:rsidRPr="00AE4A4C" w:rsidRDefault="00AE4A4C" w:rsidP="005A11C1">
      <w:pPr>
        <w:spacing w:after="0" w:line="240" w:lineRule="auto"/>
        <w:rPr>
          <w:b/>
        </w:rPr>
      </w:pPr>
      <w:r w:rsidRPr="00AE4A4C">
        <w:rPr>
          <w:b/>
        </w:rPr>
        <w:t>Målsætning</w:t>
      </w:r>
    </w:p>
    <w:p w14:paraId="16183581" w14:textId="620C9A82" w:rsidR="00EC2329" w:rsidRDefault="00EC2329" w:rsidP="005A11C1">
      <w:pPr>
        <w:spacing w:after="0" w:line="240" w:lineRule="auto"/>
      </w:pPr>
      <w:r>
        <w:t>Institution</w:t>
      </w:r>
      <w:r w:rsidR="00AE4A4C">
        <w:t>ens primære indtægtskilder kommer</w:t>
      </w:r>
      <w:r>
        <w:t xml:space="preserve"> i form af</w:t>
      </w:r>
      <w:r w:rsidR="00AE4A4C">
        <w:t xml:space="preserve"> tilskud fra </w:t>
      </w:r>
      <w:r>
        <w:t>Undervisningsministeriet</w:t>
      </w:r>
      <w:r w:rsidR="00AE4A4C">
        <w:t>, hvilket medføre</w:t>
      </w:r>
      <w:r w:rsidR="005A11C1">
        <w:t>r</w:t>
      </w:r>
      <w:r w:rsidR="00AE4A4C">
        <w:t xml:space="preserve">, at </w:t>
      </w:r>
      <w:r>
        <w:t>institution</w:t>
      </w:r>
      <w:r w:rsidR="00AE4A4C">
        <w:t>ens almindelige drift er yderst afhængig af</w:t>
      </w:r>
      <w:r w:rsidR="005A11C1">
        <w:t>,</w:t>
      </w:r>
      <w:r w:rsidR="00AE4A4C">
        <w:t xml:space="preserve"> at disse tilskud udbetales løbende og rettidigt.  </w:t>
      </w:r>
    </w:p>
    <w:p w14:paraId="79FE210D" w14:textId="77777777" w:rsidR="00EC2329" w:rsidRDefault="00EC2329" w:rsidP="005A11C1">
      <w:pPr>
        <w:spacing w:after="0" w:line="240" w:lineRule="auto"/>
      </w:pPr>
    </w:p>
    <w:p w14:paraId="70A74487" w14:textId="2FB5719D" w:rsidR="00AE4A4C" w:rsidRDefault="00AE4A4C" w:rsidP="005A11C1">
      <w:pPr>
        <w:spacing w:after="0" w:line="240" w:lineRule="auto"/>
      </w:pPr>
      <w:r>
        <w:t xml:space="preserve">Hertil kommer en række mindre tilskuds- og indtægtskilder, som typisk er </w:t>
      </w:r>
      <w:r w:rsidR="00EC2329">
        <w:t>deltagerbetaling</w:t>
      </w:r>
      <w:r w:rsidR="008F69DE">
        <w:t>, betalinger for tests samt indtægter fra Musical</w:t>
      </w:r>
      <w:r w:rsidR="00EC2329">
        <w:t xml:space="preserve"> og særlige projektbevillinger </w:t>
      </w:r>
      <w:r w:rsidR="007B4BEC">
        <w:t xml:space="preserve">og salg af </w:t>
      </w:r>
      <w:r>
        <w:t xml:space="preserve">og som ikke har en størrelse, der har afgørende indflydelse på </w:t>
      </w:r>
      <w:r w:rsidR="00EC2329">
        <w:t>institution</w:t>
      </w:r>
      <w:r>
        <w:t>ens løbende drift.</w:t>
      </w:r>
    </w:p>
    <w:p w14:paraId="1F5BC51F" w14:textId="77777777" w:rsidR="00EC2329" w:rsidRDefault="00EC2329" w:rsidP="005A11C1">
      <w:pPr>
        <w:spacing w:after="0" w:line="240" w:lineRule="auto"/>
      </w:pPr>
    </w:p>
    <w:p w14:paraId="75585FA6" w14:textId="0E42C09B" w:rsidR="00232150" w:rsidRDefault="00AE4A4C" w:rsidP="005A11C1">
      <w:pPr>
        <w:spacing w:after="0" w:line="240" w:lineRule="auto"/>
      </w:pPr>
      <w:r>
        <w:t xml:space="preserve">Det er </w:t>
      </w:r>
      <w:r w:rsidR="00EC2329">
        <w:t>institution</w:t>
      </w:r>
      <w:r>
        <w:t>ens målsætning</w:t>
      </w:r>
      <w:r w:rsidR="00232150">
        <w:t>,</w:t>
      </w:r>
      <w:r>
        <w:t xml:space="preserve"> at</w:t>
      </w:r>
      <w:r w:rsidR="00232150">
        <w:t xml:space="preserve"> der er en sammenhæng mellem budgetsikkerhed i form af kendte forpligtelser i form af rente og afdrag, samt at der sikres et likvidt beredskab som dækker institutionens løbende forpligtelser.</w:t>
      </w:r>
    </w:p>
    <w:p w14:paraId="56D978DE" w14:textId="77777777" w:rsidR="00232150" w:rsidRDefault="00232150" w:rsidP="005A11C1">
      <w:pPr>
        <w:spacing w:after="0" w:line="240" w:lineRule="auto"/>
      </w:pPr>
    </w:p>
    <w:p w14:paraId="5BFCEE45" w14:textId="4AEC5972" w:rsidR="00AE4A4C" w:rsidRDefault="00232150" w:rsidP="005A11C1">
      <w:pPr>
        <w:spacing w:after="0" w:line="240" w:lineRule="auto"/>
      </w:pPr>
      <w:r>
        <w:t>Det er overordnet set målsætningen, at institutionen skal</w:t>
      </w:r>
      <w:r w:rsidR="00AE4A4C">
        <w:t xml:space="preserve"> have et kapitalberedskab, som udgør </w:t>
      </w:r>
      <w:r w:rsidR="005A11C1">
        <w:t xml:space="preserve">ca. </w:t>
      </w:r>
      <w:r w:rsidR="00EC2329">
        <w:t>xx</w:t>
      </w:r>
      <w:r w:rsidR="005A11C1">
        <w:t xml:space="preserve"> mio. </w:t>
      </w:r>
      <w:r w:rsidR="00EC2329">
        <w:t>kr</w:t>
      </w:r>
      <w:r>
        <w:t>.</w:t>
      </w:r>
      <w:r w:rsidR="00AE4A4C">
        <w:t xml:space="preserve"> svarende til at </w:t>
      </w:r>
      <w:r w:rsidR="00EC2329">
        <w:t>institution</w:t>
      </w:r>
      <w:r w:rsidR="00AE4A4C">
        <w:t>en altid vil kunne honorere</w:t>
      </w:r>
      <w:r w:rsidR="005A11C1">
        <w:t xml:space="preserve"> </w:t>
      </w:r>
      <w:r w:rsidR="00855971">
        <w:t xml:space="preserve">mindst to måneders </w:t>
      </w:r>
      <w:r w:rsidR="00AE4A4C">
        <w:t>løn</w:t>
      </w:r>
      <w:r w:rsidR="005A11C1">
        <w:t xml:space="preserve">. </w:t>
      </w:r>
    </w:p>
    <w:p w14:paraId="6A23122D" w14:textId="77777777" w:rsidR="00855971" w:rsidRDefault="00855971" w:rsidP="005A11C1">
      <w:pPr>
        <w:spacing w:after="0" w:line="240" w:lineRule="auto"/>
      </w:pPr>
    </w:p>
    <w:p w14:paraId="114DB765" w14:textId="50BD54C4" w:rsidR="00AE4A4C" w:rsidRDefault="00EC2329" w:rsidP="005A11C1">
      <w:pPr>
        <w:spacing w:after="0" w:line="240" w:lineRule="auto"/>
      </w:pPr>
      <w:r>
        <w:t>Institution</w:t>
      </w:r>
      <w:r w:rsidR="00AE4A4C">
        <w:t>ens kapitalbehov og det kapitale beredskab fastlægges overordnet på baggrund af det godkendte budget, som brydes ned på månedsbasis. Dette sker for at sikre, at det kapitale beredskab til enhver tid lever op til målsætningen.</w:t>
      </w:r>
    </w:p>
    <w:p w14:paraId="7D0887C1" w14:textId="77777777" w:rsidR="005A11C1" w:rsidRDefault="005A11C1" w:rsidP="005A11C1">
      <w:pPr>
        <w:spacing w:after="0" w:line="240" w:lineRule="auto"/>
        <w:rPr>
          <w:b/>
        </w:rPr>
      </w:pPr>
    </w:p>
    <w:p w14:paraId="6D814780" w14:textId="719505B3" w:rsidR="00AE4A4C" w:rsidRPr="00AE4A4C" w:rsidRDefault="00AE4A4C" w:rsidP="005A11C1">
      <w:pPr>
        <w:spacing w:after="0" w:line="240" w:lineRule="auto"/>
        <w:rPr>
          <w:b/>
        </w:rPr>
      </w:pPr>
      <w:r w:rsidRPr="00AE4A4C">
        <w:rPr>
          <w:b/>
        </w:rPr>
        <w:t>Definition</w:t>
      </w:r>
    </w:p>
    <w:p w14:paraId="13A0E0FB" w14:textId="77777777" w:rsidR="00AE4A4C" w:rsidRDefault="00AE4A4C" w:rsidP="005A11C1">
      <w:pPr>
        <w:spacing w:after="0" w:line="240" w:lineRule="auto"/>
      </w:pPr>
      <w:r>
        <w:t>Det kapitale beredskab består af</w:t>
      </w:r>
      <w:r w:rsidR="0043794F">
        <w:t>:</w:t>
      </w:r>
      <w:r>
        <w:t xml:space="preserve"> </w:t>
      </w:r>
    </w:p>
    <w:p w14:paraId="1DE3AAD1" w14:textId="77777777" w:rsidR="00AE4A4C" w:rsidRDefault="00AE4A4C" w:rsidP="005A11C1">
      <w:pPr>
        <w:pStyle w:val="Listeafsnit"/>
        <w:numPr>
          <w:ilvl w:val="0"/>
          <w:numId w:val="2"/>
        </w:numPr>
      </w:pPr>
      <w:r>
        <w:t xml:space="preserve">Likvide beholdninger </w:t>
      </w:r>
    </w:p>
    <w:p w14:paraId="421CDF27" w14:textId="77777777" w:rsidR="00AE4A4C" w:rsidRDefault="00AE4A4C" w:rsidP="005A11C1">
      <w:pPr>
        <w:pStyle w:val="Listeafsnit"/>
        <w:numPr>
          <w:ilvl w:val="0"/>
          <w:numId w:val="2"/>
        </w:numPr>
      </w:pPr>
      <w:r>
        <w:t>Værdipapir</w:t>
      </w:r>
      <w:r w:rsidR="00505944">
        <w:t xml:space="preserve">er og </w:t>
      </w:r>
      <w:r>
        <w:t>obligationsbeholdninger</w:t>
      </w:r>
    </w:p>
    <w:p w14:paraId="68A9C317" w14:textId="0046834A" w:rsidR="00AE4A4C" w:rsidRDefault="00AE4A4C" w:rsidP="005A11C1">
      <w:pPr>
        <w:pStyle w:val="Listeafsnit"/>
        <w:numPr>
          <w:ilvl w:val="0"/>
          <w:numId w:val="2"/>
        </w:numPr>
      </w:pPr>
      <w:r>
        <w:t xml:space="preserve">Træknings- og låneret </w:t>
      </w:r>
    </w:p>
    <w:p w14:paraId="2C275D50" w14:textId="0FE79959" w:rsidR="00900837" w:rsidRDefault="00900837" w:rsidP="005A11C1">
      <w:pPr>
        <w:pStyle w:val="Listeafsnit"/>
        <w:numPr>
          <w:ilvl w:val="0"/>
          <w:numId w:val="2"/>
        </w:numPr>
      </w:pPr>
      <w:r>
        <w:t>Optagelse af langfristet lån</w:t>
      </w:r>
    </w:p>
    <w:p w14:paraId="53AE4716" w14:textId="154678C3" w:rsidR="00505944" w:rsidRDefault="00505944" w:rsidP="00900837">
      <w:pPr>
        <w:pStyle w:val="Listeafsnit"/>
      </w:pPr>
    </w:p>
    <w:p w14:paraId="2B983AC3" w14:textId="16D95169" w:rsidR="00DA6B82" w:rsidRDefault="00DA6B82" w:rsidP="005A11C1">
      <w:pPr>
        <w:spacing w:after="0" w:line="240" w:lineRule="auto"/>
      </w:pPr>
      <w:r>
        <w:t>Det er administrationens ansvar løben</w:t>
      </w:r>
      <w:r w:rsidR="005A11C1">
        <w:t>d</w:t>
      </w:r>
      <w:r>
        <w:t>e at vurder</w:t>
      </w:r>
      <w:r w:rsidR="005A11C1">
        <w:t>e</w:t>
      </w:r>
      <w:r>
        <w:t xml:space="preserve"> den faktiske udvikling i </w:t>
      </w:r>
      <w:r w:rsidR="00EC2329">
        <w:t>institution</w:t>
      </w:r>
      <w:r>
        <w:t>ens kapitale beredskab og sikre at målsætningen så vidt muligt overholdes.</w:t>
      </w:r>
    </w:p>
    <w:p w14:paraId="615FBFB1" w14:textId="77777777" w:rsidR="005A11C1" w:rsidRDefault="005A11C1" w:rsidP="005A11C1">
      <w:pPr>
        <w:spacing w:after="0" w:line="240" w:lineRule="auto"/>
        <w:rPr>
          <w:b/>
        </w:rPr>
      </w:pPr>
    </w:p>
    <w:p w14:paraId="17DB2245" w14:textId="4B4CEE53" w:rsidR="00AE4A4C" w:rsidRPr="00734F0A" w:rsidRDefault="00505944" w:rsidP="005A11C1">
      <w:pPr>
        <w:spacing w:after="0" w:line="240" w:lineRule="auto"/>
        <w:rPr>
          <w:b/>
        </w:rPr>
      </w:pPr>
      <w:r w:rsidRPr="00734F0A">
        <w:rPr>
          <w:b/>
        </w:rPr>
        <w:t>L</w:t>
      </w:r>
      <w:r w:rsidR="00DA6B82" w:rsidRPr="00734F0A">
        <w:rPr>
          <w:b/>
        </w:rPr>
        <w:t xml:space="preserve">ikvide </w:t>
      </w:r>
      <w:r w:rsidRPr="00734F0A">
        <w:rPr>
          <w:b/>
        </w:rPr>
        <w:t>beholdninger</w:t>
      </w:r>
      <w:r w:rsidR="00AE4A4C" w:rsidRPr="00734F0A">
        <w:rPr>
          <w:b/>
        </w:rPr>
        <w:t xml:space="preserve"> </w:t>
      </w:r>
    </w:p>
    <w:p w14:paraId="4CBE727A" w14:textId="7D186CF8" w:rsidR="00DA6B82" w:rsidRDefault="00AE4A4C" w:rsidP="005A11C1">
      <w:pPr>
        <w:spacing w:after="0" w:line="240" w:lineRule="auto"/>
      </w:pPr>
      <w:r w:rsidRPr="00734F0A">
        <w:t xml:space="preserve">I relation til </w:t>
      </w:r>
      <w:r w:rsidR="00EC2329">
        <w:t>institution</w:t>
      </w:r>
      <w:r w:rsidRPr="00734F0A">
        <w:t>ens forvaltning</w:t>
      </w:r>
      <w:r w:rsidR="00DA6B82" w:rsidRPr="00734F0A">
        <w:t xml:space="preserve"> og placering</w:t>
      </w:r>
      <w:r w:rsidRPr="00734F0A">
        <w:t xml:space="preserve">, af </w:t>
      </w:r>
      <w:r w:rsidR="00DA6B82" w:rsidRPr="00734F0A">
        <w:t>de</w:t>
      </w:r>
      <w:r w:rsidRPr="00734F0A">
        <w:t xml:space="preserve"> likvide beholdning</w:t>
      </w:r>
      <w:r w:rsidR="00DA6B82" w:rsidRPr="00734F0A">
        <w:t>er</w:t>
      </w:r>
      <w:r w:rsidRPr="00734F0A">
        <w:t xml:space="preserve">, er det </w:t>
      </w:r>
      <w:r w:rsidR="00DA6B82" w:rsidRPr="00734F0A">
        <w:t>målsætning</w:t>
      </w:r>
      <w:r w:rsidR="005A11C1">
        <w:t>en</w:t>
      </w:r>
      <w:r w:rsidR="00DA6B82" w:rsidRPr="00734F0A">
        <w:t xml:space="preserve">, </w:t>
      </w:r>
      <w:r w:rsidRPr="00734F0A">
        <w:t>at midlerne placeres, således at de giver bedst mulige afkast under hensyntagen til den af ledelsen fastlagte risikoprofil</w:t>
      </w:r>
      <w:r w:rsidR="00DA6B82" w:rsidRPr="00734F0A">
        <w:t xml:space="preserve"> og fleksibilitet i forhold til disponering</w:t>
      </w:r>
      <w:r w:rsidR="000C5F59" w:rsidRPr="00734F0A">
        <w:t xml:space="preserve"> og </w:t>
      </w:r>
      <w:r w:rsidR="009179BB" w:rsidRPr="00734F0A">
        <w:t>overholdelsen af målsætningen om kapitalberedskabets niveau</w:t>
      </w:r>
      <w:r w:rsidR="00DA6B82" w:rsidRPr="00734F0A">
        <w:t>.</w:t>
      </w:r>
    </w:p>
    <w:p w14:paraId="2D195A02" w14:textId="409ED891" w:rsidR="00855971" w:rsidRDefault="00855971" w:rsidP="005A11C1">
      <w:pPr>
        <w:spacing w:after="0" w:line="240" w:lineRule="auto"/>
      </w:pPr>
    </w:p>
    <w:p w14:paraId="413AA21D" w14:textId="77777777" w:rsidR="00DA6B82" w:rsidRPr="00734F0A" w:rsidRDefault="00DA6B82" w:rsidP="005A11C1">
      <w:pPr>
        <w:spacing w:after="0" w:line="240" w:lineRule="auto"/>
      </w:pPr>
      <w:r w:rsidRPr="00734F0A">
        <w:t>Likvide midler kan placeres således:</w:t>
      </w:r>
    </w:p>
    <w:p w14:paraId="016A0CAE" w14:textId="77777777" w:rsidR="00DA6B82" w:rsidRPr="007E1BBD" w:rsidRDefault="00DA6B82" w:rsidP="005A11C1">
      <w:pPr>
        <w:pStyle w:val="Listeafsnit"/>
        <w:numPr>
          <w:ilvl w:val="0"/>
          <w:numId w:val="2"/>
        </w:numPr>
      </w:pPr>
      <w:r w:rsidRPr="007E1BBD">
        <w:t>Bankindlån</w:t>
      </w:r>
    </w:p>
    <w:p w14:paraId="5C751007" w14:textId="77777777" w:rsidR="00DA6B82" w:rsidRPr="007E1BBD" w:rsidRDefault="00DA6B82" w:rsidP="005A11C1">
      <w:pPr>
        <w:pStyle w:val="Listeafsnit"/>
        <w:numPr>
          <w:ilvl w:val="0"/>
          <w:numId w:val="2"/>
        </w:numPr>
      </w:pPr>
      <w:r w:rsidRPr="007E1BBD">
        <w:t>Obligationsbeholdning</w:t>
      </w:r>
    </w:p>
    <w:p w14:paraId="773BC5BF" w14:textId="77777777" w:rsidR="00AE4A4C" w:rsidRDefault="00AE4A4C" w:rsidP="005A11C1">
      <w:pPr>
        <w:spacing w:after="0" w:line="240" w:lineRule="auto"/>
        <w:rPr>
          <w:rFonts w:ascii="Verdana" w:hAnsi="Verdana"/>
        </w:rPr>
      </w:pPr>
    </w:p>
    <w:p w14:paraId="4B1E32C3" w14:textId="77777777" w:rsidR="009179BB" w:rsidRDefault="009179BB" w:rsidP="005A11C1">
      <w:pPr>
        <w:pStyle w:val="BDOBodyText"/>
        <w:rPr>
          <w:b/>
        </w:rPr>
      </w:pPr>
      <w:r>
        <w:rPr>
          <w:b/>
        </w:rPr>
        <w:t>Værdipapirer og obligationer</w:t>
      </w:r>
    </w:p>
    <w:p w14:paraId="4C0B2D43" w14:textId="5669E010" w:rsidR="009179BB" w:rsidRDefault="00505944" w:rsidP="005A11C1">
      <w:pPr>
        <w:pStyle w:val="BDOBodyText"/>
        <w:rPr>
          <w:rFonts w:asciiTheme="minorHAnsi" w:eastAsiaTheme="minorHAnsi" w:hAnsiTheme="minorHAnsi" w:cstheme="minorBidi"/>
          <w:sz w:val="22"/>
          <w:szCs w:val="22"/>
          <w:lang w:eastAsia="en-US"/>
        </w:rPr>
      </w:pPr>
      <w:r w:rsidRPr="00734F0A">
        <w:rPr>
          <w:rFonts w:asciiTheme="minorHAnsi" w:eastAsiaTheme="minorHAnsi" w:hAnsiTheme="minorHAnsi" w:cstheme="minorBidi"/>
          <w:sz w:val="22"/>
          <w:szCs w:val="22"/>
          <w:lang w:eastAsia="en-US"/>
        </w:rPr>
        <w:t xml:space="preserve">Det er </w:t>
      </w:r>
      <w:r w:rsidR="00EC2329">
        <w:rPr>
          <w:rFonts w:asciiTheme="minorHAnsi" w:eastAsiaTheme="minorHAnsi" w:hAnsiTheme="minorHAnsi" w:cstheme="minorBidi"/>
          <w:sz w:val="22"/>
          <w:szCs w:val="22"/>
          <w:lang w:eastAsia="en-US"/>
        </w:rPr>
        <w:t>institution</w:t>
      </w:r>
      <w:r w:rsidRPr="00734F0A">
        <w:rPr>
          <w:rFonts w:asciiTheme="minorHAnsi" w:eastAsiaTheme="minorHAnsi" w:hAnsiTheme="minorHAnsi" w:cstheme="minorBidi"/>
          <w:sz w:val="22"/>
          <w:szCs w:val="22"/>
          <w:lang w:eastAsia="en-US"/>
        </w:rPr>
        <w:t xml:space="preserve">ens mål at opnå bedst mulig forrentning af likvide midler, hvor behovet for realisering/brug er langsigtet. </w:t>
      </w:r>
    </w:p>
    <w:p w14:paraId="7DFBBE6E" w14:textId="77777777" w:rsidR="00855971" w:rsidRPr="00734F0A" w:rsidRDefault="00855971" w:rsidP="005A11C1">
      <w:pPr>
        <w:pStyle w:val="BDOBodyText"/>
        <w:rPr>
          <w:rFonts w:asciiTheme="minorHAnsi" w:eastAsiaTheme="minorHAnsi" w:hAnsiTheme="minorHAnsi" w:cstheme="minorBidi"/>
          <w:sz w:val="22"/>
          <w:szCs w:val="22"/>
          <w:lang w:eastAsia="en-US"/>
        </w:rPr>
      </w:pPr>
    </w:p>
    <w:p w14:paraId="601F20AD" w14:textId="77777777" w:rsidR="00505944" w:rsidRPr="00734F0A" w:rsidRDefault="00505944" w:rsidP="005A11C1">
      <w:pPr>
        <w:pStyle w:val="BDOBodyText"/>
        <w:rPr>
          <w:rFonts w:asciiTheme="minorHAnsi" w:eastAsiaTheme="minorHAnsi" w:hAnsiTheme="minorHAnsi" w:cstheme="minorBidi"/>
          <w:sz w:val="22"/>
          <w:szCs w:val="22"/>
          <w:lang w:eastAsia="en-US"/>
        </w:rPr>
      </w:pPr>
      <w:r w:rsidRPr="00734F0A">
        <w:rPr>
          <w:rFonts w:asciiTheme="minorHAnsi" w:eastAsiaTheme="minorHAnsi" w:hAnsiTheme="minorHAnsi" w:cstheme="minorBidi"/>
          <w:sz w:val="22"/>
          <w:szCs w:val="22"/>
          <w:lang w:eastAsia="en-US"/>
        </w:rPr>
        <w:t xml:space="preserve">Investeringen i værdipapirer kan alene ske i statslige obligationer eller realkreditobligationer. </w:t>
      </w:r>
    </w:p>
    <w:p w14:paraId="0D0D3B79" w14:textId="34CE276F" w:rsidR="00505944" w:rsidRPr="00734F0A" w:rsidRDefault="00505944" w:rsidP="005A11C1">
      <w:pPr>
        <w:pStyle w:val="BDOBodyText"/>
        <w:rPr>
          <w:rFonts w:asciiTheme="minorHAnsi" w:eastAsiaTheme="minorHAnsi" w:hAnsiTheme="minorHAnsi" w:cstheme="minorBidi"/>
          <w:sz w:val="22"/>
          <w:szCs w:val="22"/>
          <w:lang w:eastAsia="en-US"/>
        </w:rPr>
      </w:pPr>
      <w:r w:rsidRPr="00734F0A">
        <w:rPr>
          <w:rFonts w:asciiTheme="minorHAnsi" w:eastAsiaTheme="minorHAnsi" w:hAnsiTheme="minorHAnsi" w:cstheme="minorBidi"/>
          <w:sz w:val="22"/>
          <w:szCs w:val="22"/>
          <w:lang w:eastAsia="en-US"/>
        </w:rPr>
        <w:t xml:space="preserve">Der skal ved investeringerne tages højde for risikoprofil og varighed, således at kursrisiko begrænses og gør det muligt at afhænde værdipapirerne </w:t>
      </w:r>
      <w:r w:rsidR="00734F0A" w:rsidRPr="00734F0A">
        <w:rPr>
          <w:rFonts w:asciiTheme="minorHAnsi" w:eastAsiaTheme="minorHAnsi" w:hAnsiTheme="minorHAnsi" w:cstheme="minorBidi"/>
          <w:sz w:val="22"/>
          <w:szCs w:val="22"/>
          <w:lang w:eastAsia="en-US"/>
        </w:rPr>
        <w:t xml:space="preserve">inden for </w:t>
      </w:r>
      <w:r w:rsidR="005A11C1">
        <w:rPr>
          <w:rFonts w:asciiTheme="minorHAnsi" w:eastAsiaTheme="minorHAnsi" w:hAnsiTheme="minorHAnsi" w:cstheme="minorBidi"/>
          <w:sz w:val="22"/>
          <w:szCs w:val="22"/>
          <w:lang w:eastAsia="en-US"/>
        </w:rPr>
        <w:t xml:space="preserve">en </w:t>
      </w:r>
      <w:r w:rsidR="00734F0A" w:rsidRPr="00734F0A">
        <w:rPr>
          <w:rFonts w:asciiTheme="minorHAnsi" w:eastAsiaTheme="minorHAnsi" w:hAnsiTheme="minorHAnsi" w:cstheme="minorBidi"/>
          <w:sz w:val="22"/>
          <w:szCs w:val="22"/>
          <w:lang w:eastAsia="en-US"/>
        </w:rPr>
        <w:t>rimelig tidshorisont, såfremt dette måtte blive relevant.</w:t>
      </w:r>
      <w:r w:rsidRPr="00734F0A">
        <w:rPr>
          <w:rFonts w:asciiTheme="minorHAnsi" w:eastAsiaTheme="minorHAnsi" w:hAnsiTheme="minorHAnsi" w:cstheme="minorBidi"/>
          <w:sz w:val="22"/>
          <w:szCs w:val="22"/>
          <w:lang w:eastAsia="en-US"/>
        </w:rPr>
        <w:t xml:space="preserve"> </w:t>
      </w:r>
    </w:p>
    <w:p w14:paraId="4FAF5990" w14:textId="4B9385D0" w:rsidR="00505944" w:rsidRDefault="00505944" w:rsidP="005A11C1">
      <w:pPr>
        <w:pStyle w:val="BDOBodyText"/>
        <w:rPr>
          <w:b/>
        </w:rPr>
      </w:pPr>
    </w:p>
    <w:p w14:paraId="75816682" w14:textId="77777777" w:rsidR="00900837" w:rsidRDefault="00900837" w:rsidP="005A11C1">
      <w:pPr>
        <w:pStyle w:val="BDOBodyText"/>
        <w:rPr>
          <w:b/>
        </w:rPr>
      </w:pPr>
    </w:p>
    <w:p w14:paraId="7F58E031" w14:textId="77777777" w:rsidR="00505944" w:rsidRDefault="00505944" w:rsidP="005A11C1">
      <w:pPr>
        <w:pStyle w:val="BDOBodyText"/>
        <w:rPr>
          <w:b/>
        </w:rPr>
      </w:pPr>
      <w:r>
        <w:rPr>
          <w:b/>
        </w:rPr>
        <w:t>Trækningsret og låneret</w:t>
      </w:r>
    </w:p>
    <w:p w14:paraId="2D811487" w14:textId="25F33320" w:rsidR="00505944" w:rsidRPr="00734F0A" w:rsidRDefault="00EC2329" w:rsidP="005A11C1">
      <w:pPr>
        <w:pStyle w:val="BDOBodyTex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Institution</w:t>
      </w:r>
      <w:r w:rsidR="00505944" w:rsidRPr="00734F0A">
        <w:rPr>
          <w:rFonts w:asciiTheme="minorHAnsi" w:eastAsiaTheme="minorHAnsi" w:hAnsiTheme="minorHAnsi" w:cstheme="minorBidi"/>
          <w:sz w:val="22"/>
          <w:szCs w:val="22"/>
          <w:lang w:eastAsia="en-US"/>
        </w:rPr>
        <w:t xml:space="preserve">en kan </w:t>
      </w:r>
      <w:r w:rsidR="00734F0A" w:rsidRPr="00734F0A">
        <w:rPr>
          <w:rFonts w:asciiTheme="minorHAnsi" w:eastAsiaTheme="minorHAnsi" w:hAnsiTheme="minorHAnsi" w:cstheme="minorBidi"/>
          <w:sz w:val="22"/>
          <w:szCs w:val="22"/>
          <w:lang w:eastAsia="en-US"/>
        </w:rPr>
        <w:t>til sikring af det kapitale beredskab indgå aftale om en kassekredit med tilhørende trækningsret, som kan indregnes i det kapitale beredskab eller et lån, med fast afviklingshoris</w:t>
      </w:r>
      <w:r w:rsidR="00734F0A">
        <w:rPr>
          <w:rFonts w:asciiTheme="minorHAnsi" w:eastAsiaTheme="minorHAnsi" w:hAnsiTheme="minorHAnsi" w:cstheme="minorBidi"/>
          <w:sz w:val="22"/>
          <w:szCs w:val="22"/>
          <w:lang w:eastAsia="en-US"/>
        </w:rPr>
        <w:t>o</w:t>
      </w:r>
      <w:r w:rsidR="00734F0A" w:rsidRPr="00734F0A">
        <w:rPr>
          <w:rFonts w:asciiTheme="minorHAnsi" w:eastAsiaTheme="minorHAnsi" w:hAnsiTheme="minorHAnsi" w:cstheme="minorBidi"/>
          <w:sz w:val="22"/>
          <w:szCs w:val="22"/>
          <w:lang w:eastAsia="en-US"/>
        </w:rPr>
        <w:t>nt.</w:t>
      </w:r>
    </w:p>
    <w:p w14:paraId="4BFD4720" w14:textId="77777777" w:rsidR="00AE4A4C" w:rsidRDefault="00AE4A4C" w:rsidP="005A11C1">
      <w:pPr>
        <w:spacing w:after="0" w:line="240" w:lineRule="auto"/>
        <w:rPr>
          <w:rFonts w:ascii="Verdana" w:hAnsi="Verdana"/>
        </w:rPr>
      </w:pPr>
    </w:p>
    <w:p w14:paraId="4E9E666C" w14:textId="63CB9B8C" w:rsidR="00AE4A4C" w:rsidRPr="000C09D3" w:rsidRDefault="00AE4A4C" w:rsidP="005A11C1">
      <w:pPr>
        <w:pStyle w:val="BDOBodyText"/>
        <w:rPr>
          <w:b/>
        </w:rPr>
      </w:pPr>
      <w:r w:rsidRPr="000C09D3">
        <w:rPr>
          <w:b/>
        </w:rPr>
        <w:t xml:space="preserve">Optagelse af langfristet lån </w:t>
      </w:r>
    </w:p>
    <w:p w14:paraId="2DCC283C" w14:textId="74A84283" w:rsidR="00DA6B82" w:rsidRPr="00734F0A" w:rsidRDefault="00EC2329" w:rsidP="005A11C1">
      <w:pPr>
        <w:spacing w:after="0" w:line="240" w:lineRule="auto"/>
      </w:pPr>
      <w:r>
        <w:t>Institution</w:t>
      </w:r>
      <w:r w:rsidR="00DA6B82" w:rsidRPr="00734F0A">
        <w:t xml:space="preserve">en kan efter behov optage </w:t>
      </w:r>
      <w:r w:rsidR="008908DA" w:rsidRPr="00734F0A">
        <w:t xml:space="preserve">kort- eller </w:t>
      </w:r>
      <w:r w:rsidR="00DA6B82" w:rsidRPr="00734F0A">
        <w:t>l</w:t>
      </w:r>
      <w:r w:rsidR="008908DA" w:rsidRPr="00734F0A">
        <w:t>angfristede lån til sikring af det kapitale beredskab.</w:t>
      </w:r>
    </w:p>
    <w:p w14:paraId="4D8BEA3D" w14:textId="77777777" w:rsidR="00B3233C" w:rsidRDefault="00B3233C" w:rsidP="005A11C1">
      <w:pPr>
        <w:spacing w:after="0" w:line="240" w:lineRule="auto"/>
      </w:pPr>
    </w:p>
    <w:p w14:paraId="0C3047F6" w14:textId="792BF3F3" w:rsidR="00AE4A4C" w:rsidRPr="00734F0A" w:rsidRDefault="008908DA" w:rsidP="005A11C1">
      <w:pPr>
        <w:spacing w:after="0" w:line="240" w:lineRule="auto"/>
      </w:pPr>
      <w:r w:rsidRPr="00734F0A">
        <w:t>Langfristede l</w:t>
      </w:r>
      <w:r w:rsidR="00AE4A4C" w:rsidRPr="00734F0A">
        <w:t xml:space="preserve">ån bidrager til at sikre, at </w:t>
      </w:r>
      <w:r w:rsidR="00EC2329">
        <w:t>institution</w:t>
      </w:r>
      <w:r w:rsidRPr="00734F0A">
        <w:t>en</w:t>
      </w:r>
      <w:r w:rsidR="00AE4A4C" w:rsidRPr="00734F0A">
        <w:t xml:space="preserve"> også på længere sigt kan have et solidt kapitalberedskab, som sikre</w:t>
      </w:r>
      <w:r w:rsidR="005A11C1">
        <w:t>r</w:t>
      </w:r>
      <w:r w:rsidR="00AE4A4C" w:rsidRPr="00734F0A">
        <w:t xml:space="preserve"> den fornødne handlefrihed, i relation til selv at kunne iværksætte nye initiativer og investeringer uden at skulle have en ekstern kreditors accept. Nødvendigheden af at have et stærkt kapitalberedskab understreges af følgende forhold:</w:t>
      </w:r>
    </w:p>
    <w:p w14:paraId="33456AC1" w14:textId="77777777" w:rsidR="008908DA" w:rsidRPr="005A11C1" w:rsidRDefault="008908DA" w:rsidP="005A11C1">
      <w:pPr>
        <w:spacing w:after="0" w:line="240" w:lineRule="auto"/>
        <w:rPr>
          <w:rFonts w:ascii="Verdana" w:hAnsi="Verdana"/>
          <w:sz w:val="10"/>
          <w:szCs w:val="10"/>
        </w:rPr>
      </w:pPr>
    </w:p>
    <w:p w14:paraId="091D4569" w14:textId="5EBDB81C" w:rsidR="00AE4A4C" w:rsidRDefault="00EC2329" w:rsidP="005A11C1">
      <w:pPr>
        <w:pStyle w:val="Listeafsnit"/>
        <w:numPr>
          <w:ilvl w:val="0"/>
          <w:numId w:val="3"/>
        </w:numPr>
        <w:contextualSpacing/>
      </w:pPr>
      <w:r>
        <w:t>Institution</w:t>
      </w:r>
      <w:r w:rsidR="008908DA">
        <w:t>ens</w:t>
      </w:r>
      <w:r w:rsidR="00AE4A4C">
        <w:t xml:space="preserve"> indtægter udgøres i væsentligt omfang af </w:t>
      </w:r>
      <w:r w:rsidR="009179BB">
        <w:t>offentlige t</w:t>
      </w:r>
      <w:r w:rsidR="00AE4A4C">
        <w:t>ilskud, som i overvejende grad udløses på baggrund af den gennemførte aktivitet. Et frafald af</w:t>
      </w:r>
      <w:r w:rsidR="009179BB">
        <w:t xml:space="preserve"> elever </w:t>
      </w:r>
      <w:r w:rsidR="00AE4A4C">
        <w:t xml:space="preserve">vil således have øjeblikkelig effekt på </w:t>
      </w:r>
      <w:r>
        <w:t>institution</w:t>
      </w:r>
      <w:r w:rsidR="008908DA">
        <w:t>ens</w:t>
      </w:r>
      <w:r w:rsidR="00AE4A4C">
        <w:t xml:space="preserve"> indtægter, mens </w:t>
      </w:r>
      <w:r>
        <w:t>institution</w:t>
      </w:r>
      <w:r w:rsidR="008908DA">
        <w:t>ens</w:t>
      </w:r>
      <w:r w:rsidR="00AE4A4C">
        <w:t xml:space="preserve"> væsentligste omkostning udgøres af faste lønninger, der alene kan tilpasses med en tidsmæssig forsinkelse. Af de samlede indtægter </w:t>
      </w:r>
      <w:r w:rsidR="009A2DFD">
        <w:t xml:space="preserve">forbruges </w:t>
      </w:r>
      <w:r w:rsidR="00AE4A4C">
        <w:t xml:space="preserve">mere end </w:t>
      </w:r>
      <w:r w:rsidR="009A2DFD">
        <w:t>80</w:t>
      </w:r>
      <w:r w:rsidR="00AE4A4C">
        <w:t>% således forbrugt på lønomkostninger.</w:t>
      </w:r>
      <w:r w:rsidR="001B2FCE">
        <w:t xml:space="preserve"> Det skal dog bemærkes at de årlige udsving i elevtal er </w:t>
      </w:r>
      <w:r w:rsidR="00855971">
        <w:t xml:space="preserve">relativt </w:t>
      </w:r>
      <w:r w:rsidR="001B2FCE">
        <w:t>små</w:t>
      </w:r>
      <w:r w:rsidR="00855971">
        <w:t>.</w:t>
      </w:r>
      <w:r w:rsidR="001B2FCE">
        <w:t xml:space="preserve"> </w:t>
      </w:r>
    </w:p>
    <w:p w14:paraId="6022DE0B" w14:textId="77777777" w:rsidR="004E0906" w:rsidRDefault="00AE4A4C" w:rsidP="005A11C1">
      <w:pPr>
        <w:pStyle w:val="Listeafsnit"/>
        <w:numPr>
          <w:ilvl w:val="0"/>
          <w:numId w:val="3"/>
        </w:numPr>
        <w:contextualSpacing/>
      </w:pPr>
      <w:r>
        <w:t xml:space="preserve">Lønudviklingen fastlægges i </w:t>
      </w:r>
      <w:r w:rsidR="009179BB">
        <w:t>særskilte</w:t>
      </w:r>
      <w:r>
        <w:t xml:space="preserve"> overenskomster</w:t>
      </w:r>
      <w:r w:rsidR="005A11C1">
        <w:t xml:space="preserve"> </w:t>
      </w:r>
      <w:r w:rsidR="004E0906">
        <w:t>uden for institutionens indflydelse</w:t>
      </w:r>
    </w:p>
    <w:p w14:paraId="50529E5B" w14:textId="77777777" w:rsidR="00AE4A4C" w:rsidRPr="005A11C1" w:rsidRDefault="00AE4A4C" w:rsidP="005A11C1">
      <w:pPr>
        <w:spacing w:after="0" w:line="240" w:lineRule="auto"/>
        <w:contextualSpacing/>
        <w:rPr>
          <w:sz w:val="10"/>
          <w:szCs w:val="10"/>
        </w:rPr>
      </w:pPr>
    </w:p>
    <w:p w14:paraId="0C91DF14" w14:textId="0BA5F583" w:rsidR="00AE4A4C" w:rsidRDefault="009179BB" w:rsidP="005A11C1">
      <w:pPr>
        <w:spacing w:after="0" w:line="240" w:lineRule="auto"/>
        <w:contextualSpacing/>
      </w:pPr>
      <w:r>
        <w:t xml:space="preserve">En optagelse af et langfristet lån </w:t>
      </w:r>
      <w:r w:rsidR="00CC7BA9">
        <w:t>er</w:t>
      </w:r>
      <w:r w:rsidR="00AE4A4C">
        <w:t xml:space="preserve"> udtryk for rettidig omhu, samt at ledelsen med den fastlagte finansielle strategi løbende søger for at tilsikre bedst mulig placering af </w:t>
      </w:r>
      <w:r w:rsidR="00EC2329">
        <w:t>institution</w:t>
      </w:r>
      <w:r w:rsidR="008908DA">
        <w:t>ens</w:t>
      </w:r>
      <w:r w:rsidR="00AE4A4C">
        <w:t xml:space="preserve"> kapitalberedskab under hensyntagen til den valgte risikoprofil.</w:t>
      </w:r>
    </w:p>
    <w:p w14:paraId="78C863C6" w14:textId="3AA8A42F" w:rsidR="00B3233C" w:rsidRDefault="00B3233C" w:rsidP="005A11C1">
      <w:pPr>
        <w:spacing w:after="0" w:line="240" w:lineRule="auto"/>
        <w:contextualSpacing/>
      </w:pPr>
    </w:p>
    <w:p w14:paraId="72AF5F49" w14:textId="164FB336" w:rsidR="00B3233C" w:rsidRDefault="00B3233C" w:rsidP="005A11C1">
      <w:pPr>
        <w:spacing w:after="0" w:line="240" w:lineRule="auto"/>
        <w:contextualSpacing/>
      </w:pPr>
      <w:r>
        <w:t xml:space="preserve">Ved optagelse af langfristede lån </w:t>
      </w:r>
      <w:r w:rsidR="00E96646">
        <w:t>efterprøves forskellige lånetyper, med henblik på at finde det mest optimale lån til institutionen. Der undersøges således:</w:t>
      </w:r>
    </w:p>
    <w:p w14:paraId="0A9AD6E4" w14:textId="1A948840" w:rsidR="00E96646" w:rsidRDefault="00E96646" w:rsidP="00E96646">
      <w:pPr>
        <w:pStyle w:val="Listeafsnit"/>
        <w:numPr>
          <w:ilvl w:val="0"/>
          <w:numId w:val="2"/>
        </w:numPr>
        <w:contextualSpacing/>
      </w:pPr>
      <w:r>
        <w:t>Fast og variabel rente</w:t>
      </w:r>
    </w:p>
    <w:p w14:paraId="4F3BAE01" w14:textId="3F2BCA21" w:rsidR="00E96646" w:rsidRDefault="00E96646" w:rsidP="00E96646">
      <w:pPr>
        <w:pStyle w:val="Listeafsnit"/>
        <w:numPr>
          <w:ilvl w:val="0"/>
          <w:numId w:val="2"/>
        </w:numPr>
        <w:contextualSpacing/>
      </w:pPr>
      <w:r>
        <w:t>Forskellige løbetider</w:t>
      </w:r>
    </w:p>
    <w:p w14:paraId="0DF62EE1" w14:textId="0860441D" w:rsidR="00E96646" w:rsidRDefault="00E96646" w:rsidP="00E96646">
      <w:pPr>
        <w:contextualSpacing/>
      </w:pPr>
    </w:p>
    <w:p w14:paraId="7021D0B8" w14:textId="5BC10C80" w:rsidR="00E96646" w:rsidRDefault="00E96646" w:rsidP="00E96646">
      <w:pPr>
        <w:contextualSpacing/>
      </w:pPr>
      <w:r>
        <w:t>Endelig låntagning godkendes af institutionens bestyrelse på baggrund af indstilling fra institutionens daglige ledelse.</w:t>
      </w:r>
    </w:p>
    <w:p w14:paraId="60E8F681" w14:textId="56BA443E" w:rsidR="005871E0" w:rsidRDefault="005871E0" w:rsidP="00E96646">
      <w:pPr>
        <w:contextualSpacing/>
      </w:pPr>
    </w:p>
    <w:p w14:paraId="550097B4" w14:textId="6F611971" w:rsidR="00734F0A" w:rsidRDefault="00E039B3" w:rsidP="007B3461">
      <w:pPr>
        <w:spacing w:after="0" w:line="240" w:lineRule="auto"/>
        <w:ind w:left="1304"/>
        <w:contextualSpacing/>
      </w:pPr>
      <w:r>
        <w:t>Der foretages periodevis revurdering af institutionens lånebeholdning og sammensætning, med henblik på at sikre at sammensætningen mellem lånetyper og rente er optimeret til institutionen.</w:t>
      </w:r>
    </w:p>
    <w:p w14:paraId="3CB63318" w14:textId="34AB2052" w:rsidR="00E039B3" w:rsidRDefault="00E039B3" w:rsidP="005A11C1">
      <w:pPr>
        <w:spacing w:after="0" w:line="240" w:lineRule="auto"/>
        <w:contextualSpacing/>
      </w:pPr>
    </w:p>
    <w:p w14:paraId="3EB711B2" w14:textId="77777777" w:rsidR="007B3461" w:rsidRDefault="007B3461" w:rsidP="007B3461">
      <w:pPr>
        <w:spacing w:after="0" w:line="240" w:lineRule="auto"/>
        <w:rPr>
          <w:b/>
        </w:rPr>
      </w:pPr>
      <w:r>
        <w:rPr>
          <w:b/>
        </w:rPr>
        <w:t>Gældsniveau</w:t>
      </w:r>
    </w:p>
    <w:p w14:paraId="102EB681" w14:textId="26930D4F" w:rsidR="007B3461" w:rsidRDefault="007B3461" w:rsidP="007B3461">
      <w:pPr>
        <w:spacing w:after="0" w:line="240" w:lineRule="auto"/>
      </w:pPr>
      <w:r w:rsidRPr="00174424">
        <w:t>Institut</w:t>
      </w:r>
      <w:r>
        <w:t xml:space="preserve">ionen følger nøje udviklingen af den samlede gæld til realkreditinstitutioner og banker, </w:t>
      </w:r>
      <w:r w:rsidRPr="00174424">
        <w:t>i forhold til de samlede aktiver</w:t>
      </w:r>
      <w:r>
        <w:t>s</w:t>
      </w:r>
      <w:r w:rsidRPr="00174424">
        <w:t xml:space="preserve"> værdi.</w:t>
      </w:r>
      <w:r>
        <w:t xml:space="preserve"> Institutionen arbejder som udgangspunkt for, at den samlede gæld til realkreditinstitutioner og banker højest må udgøre 70% af de samlede aktivers værdi. </w:t>
      </w:r>
    </w:p>
    <w:p w14:paraId="2403BEAF" w14:textId="7ECAB64C" w:rsidR="007B3461" w:rsidRDefault="007B3461" w:rsidP="005A11C1">
      <w:pPr>
        <w:spacing w:after="0" w:line="240" w:lineRule="auto"/>
        <w:contextualSpacing/>
      </w:pPr>
    </w:p>
    <w:p w14:paraId="0EE8156B" w14:textId="77777777" w:rsidR="007B3461" w:rsidRDefault="007B3461" w:rsidP="007B3461">
      <w:pPr>
        <w:spacing w:after="0" w:line="240" w:lineRule="auto"/>
        <w:rPr>
          <w:b/>
        </w:rPr>
      </w:pPr>
      <w:r>
        <w:rPr>
          <w:b/>
        </w:rPr>
        <w:t>Renterisiko</w:t>
      </w:r>
    </w:p>
    <w:p w14:paraId="41C07227" w14:textId="46B770B4" w:rsidR="007B3461" w:rsidRDefault="007B3461" w:rsidP="007B3461">
      <w:pPr>
        <w:spacing w:after="0" w:line="240" w:lineRule="auto"/>
        <w:contextualSpacing/>
      </w:pPr>
      <w:r>
        <w:t xml:space="preserve">Institutionen ønsker at arbejde med en kontrolleret renterisiko. Af institutionens samlede realkreditgæld må ca. xx% være optaget med variable renter. Ved optagelse af lån med variable renter ønskes indgået en renteloftsaftale, for at sikre en fremtidig maksimum renteudgift. Optagelse af lån med variable renter med </w:t>
      </w:r>
      <w:r>
        <w:lastRenderedPageBreak/>
        <w:t xml:space="preserve">renteloft vil kunne optages, hvor renteloftet er x procentpoint over markedsrenten ved tidspunktet for optagelse af lånet. </w:t>
      </w:r>
      <w:r w:rsidR="00533FBE">
        <w:t xml:space="preserve">Optagelse af lån med variable renter med renteloft vil kunne optages, hvor renteloftet ud fra en konkret økonomiske vurdering og risikoafvejning giver mening i forhold til den gældende markedsrente. </w:t>
      </w:r>
      <w:r>
        <w:t>Samt hvor renteloftsaftalens løbetid er</w:t>
      </w:r>
      <w:r w:rsidR="00533FBE">
        <w:t xml:space="preserve"> maksimalt</w:t>
      </w:r>
      <w:r>
        <w:t xml:space="preserve"> 2/3 af det underliggende låns løbetid. Resterende realkreditgæld skal så vidt muligt optages med fast forrentede lån for at minimere rente risiko</w:t>
      </w:r>
      <w:r w:rsidR="00574B7B">
        <w:t>en</w:t>
      </w:r>
      <w:r>
        <w:t>.</w:t>
      </w:r>
    </w:p>
    <w:p w14:paraId="1265A70D" w14:textId="60C65E3C" w:rsidR="00D214BA" w:rsidRDefault="00D214BA" w:rsidP="007B3461">
      <w:pPr>
        <w:spacing w:after="0" w:line="240" w:lineRule="auto"/>
        <w:contextualSpacing/>
      </w:pPr>
    </w:p>
    <w:p w14:paraId="4365EDE4" w14:textId="77777777" w:rsidR="00D214BA" w:rsidRDefault="00D214BA" w:rsidP="00D214BA">
      <w:pPr>
        <w:contextualSpacing/>
        <w:rPr>
          <w:b/>
        </w:rPr>
      </w:pPr>
      <w:r w:rsidRPr="00D72FCE">
        <w:rPr>
          <w:b/>
        </w:rPr>
        <w:t>Anvendelse af uafhængig rådgivning</w:t>
      </w:r>
    </w:p>
    <w:p w14:paraId="38642CE1" w14:textId="77777777" w:rsidR="00D214BA" w:rsidRDefault="00D214BA" w:rsidP="00D214BA">
      <w:pPr>
        <w:contextualSpacing/>
      </w:pPr>
      <w:r w:rsidRPr="001657B1">
        <w:t xml:space="preserve">Institutionen kan anvende en uafhængig rådgiver i relation </w:t>
      </w:r>
      <w:r>
        <w:t>til institutionens finansiering, når det skønnes at institutionen har brug for en uvildig rådgivning.</w:t>
      </w:r>
    </w:p>
    <w:p w14:paraId="761A8089" w14:textId="77777777" w:rsidR="00D214BA" w:rsidRPr="001657B1" w:rsidRDefault="00D214BA" w:rsidP="00D214BA">
      <w:pPr>
        <w:contextualSpacing/>
      </w:pPr>
    </w:p>
    <w:p w14:paraId="71C20EF0" w14:textId="77777777" w:rsidR="00D214BA" w:rsidRDefault="00D214BA" w:rsidP="00D214BA">
      <w:pPr>
        <w:contextualSpacing/>
      </w:pPr>
      <w:r>
        <w:t>Særligt ved større finansierings beslutninger såsom optagelse af nye lån, omlægning af eksisterende lån eller ved større refinansierings projekter, kan institutionen overveje at søge råd og vejledning ved en uafhængig rådgiver.</w:t>
      </w:r>
    </w:p>
    <w:p w14:paraId="3CC4011A" w14:textId="77777777" w:rsidR="00D214BA" w:rsidRDefault="00D214BA" w:rsidP="00D214BA">
      <w:pPr>
        <w:contextualSpacing/>
      </w:pPr>
    </w:p>
    <w:p w14:paraId="466B1C49" w14:textId="77777777" w:rsidR="00D214BA" w:rsidRPr="001657B1" w:rsidRDefault="00D214BA" w:rsidP="00D214BA">
      <w:pPr>
        <w:contextualSpacing/>
      </w:pPr>
      <w:r>
        <w:t>Institutionen kan ligeledes vælge at gøre brug af uvildig rådgivning til at afsøge finansielle produkter i forhold til niveauer for bidragssatser, rentemarginaler, kursskæringer og gebyrer.</w:t>
      </w:r>
    </w:p>
    <w:p w14:paraId="1628EE32" w14:textId="77777777" w:rsidR="00D214BA" w:rsidRPr="001657B1" w:rsidRDefault="00D214BA" w:rsidP="00D214BA">
      <w:pPr>
        <w:contextualSpacing/>
      </w:pPr>
      <w:r>
        <w:t>Anvendelse af uafhængig rådgivning i finansieringssager kan foregå i samarbejde med institutionens bestyrelse eller på anbefaling på anbefaling fra institutionens bestyrelse og altid efter aftale med institutions bestyrelse.</w:t>
      </w:r>
    </w:p>
    <w:p w14:paraId="351A0CB3" w14:textId="77777777" w:rsidR="00D214BA" w:rsidRDefault="00D214BA" w:rsidP="007B3461">
      <w:pPr>
        <w:spacing w:after="0" w:line="240" w:lineRule="auto"/>
        <w:contextualSpacing/>
      </w:pPr>
    </w:p>
    <w:p w14:paraId="1D46AE6A" w14:textId="77777777" w:rsidR="00E039B3" w:rsidRDefault="00E039B3" w:rsidP="005A11C1">
      <w:pPr>
        <w:spacing w:after="0" w:line="240" w:lineRule="auto"/>
        <w:contextualSpacing/>
      </w:pPr>
    </w:p>
    <w:p w14:paraId="12C8C8D5" w14:textId="77777777" w:rsidR="00AE4A4C" w:rsidRPr="00734F0A" w:rsidRDefault="00734F0A" w:rsidP="005A11C1">
      <w:pPr>
        <w:spacing w:after="0" w:line="240" w:lineRule="auto"/>
        <w:rPr>
          <w:b/>
        </w:rPr>
      </w:pPr>
      <w:r w:rsidRPr="00734F0A">
        <w:rPr>
          <w:b/>
        </w:rPr>
        <w:t>Tilskudsstyring</w:t>
      </w:r>
    </w:p>
    <w:p w14:paraId="3BCD5132" w14:textId="43C704B6" w:rsidR="00734F0A" w:rsidRDefault="00EC2329" w:rsidP="005A11C1">
      <w:pPr>
        <w:spacing w:after="0" w:line="240" w:lineRule="auto"/>
      </w:pPr>
      <w:r>
        <w:t>Institution</w:t>
      </w:r>
      <w:r w:rsidR="00734F0A">
        <w:t>en følger løbende at tilskud udbetales til de aftalte terminer, herunder sker der månedsvis afstemning og opfølgning på at de modtagne tilskud svare til det forventede.</w:t>
      </w:r>
    </w:p>
    <w:p w14:paraId="1C8A061A" w14:textId="77777777" w:rsidR="00E039B3" w:rsidRDefault="00E039B3" w:rsidP="005A11C1">
      <w:pPr>
        <w:spacing w:after="0" w:line="240" w:lineRule="auto"/>
      </w:pPr>
    </w:p>
    <w:p w14:paraId="4EB0BF62" w14:textId="3DF93599" w:rsidR="00734F0A" w:rsidRDefault="00734F0A" w:rsidP="005A11C1">
      <w:pPr>
        <w:spacing w:after="0" w:line="240" w:lineRule="auto"/>
      </w:pPr>
      <w:r>
        <w:t xml:space="preserve">Der bliver straks fulgt op på udeblivende tilskud, med henblik på afklaring af baggrund og herunder også fornyede terminer. </w:t>
      </w:r>
    </w:p>
    <w:p w14:paraId="307A1310" w14:textId="77777777" w:rsidR="00E039B3" w:rsidRDefault="00E039B3" w:rsidP="005A11C1">
      <w:pPr>
        <w:spacing w:after="0" w:line="240" w:lineRule="auto"/>
      </w:pPr>
    </w:p>
    <w:p w14:paraId="522EF1DC" w14:textId="7618CCEA" w:rsidR="00734F0A" w:rsidRDefault="00734F0A" w:rsidP="005A11C1">
      <w:pPr>
        <w:spacing w:after="0" w:line="240" w:lineRule="auto"/>
      </w:pPr>
      <w:r>
        <w:t xml:space="preserve">Større forskydninger og justeringer i tilskudsgrundlaget indarbejdes løbende </w:t>
      </w:r>
      <w:r w:rsidR="004E0906">
        <w:t xml:space="preserve">i budget </w:t>
      </w:r>
      <w:r>
        <w:t xml:space="preserve">og der foretages en fornyet vurdering af </w:t>
      </w:r>
      <w:r w:rsidR="00EC2329">
        <w:t>institution</w:t>
      </w:r>
      <w:r>
        <w:t>ens kapitale beredskab og mulig afdækning, således at minimums</w:t>
      </w:r>
      <w:r w:rsidR="009A2DFD">
        <w:t>-</w:t>
      </w:r>
      <w:r>
        <w:t>kapitalberedskabet kan opretholdes.</w:t>
      </w:r>
    </w:p>
    <w:p w14:paraId="6E015D8F" w14:textId="769861A3" w:rsidR="00734F0A" w:rsidRDefault="00734F0A" w:rsidP="005A11C1">
      <w:pPr>
        <w:spacing w:after="0" w:line="240" w:lineRule="auto"/>
      </w:pPr>
    </w:p>
    <w:p w14:paraId="4EE68EC5" w14:textId="71BE2C66" w:rsidR="00533FBE" w:rsidRPr="00533FBE" w:rsidRDefault="00533FBE" w:rsidP="005A11C1">
      <w:pPr>
        <w:spacing w:after="0" w:line="240" w:lineRule="auto"/>
        <w:rPr>
          <w:b/>
          <w:bCs/>
        </w:rPr>
      </w:pPr>
      <w:r w:rsidRPr="00533FBE">
        <w:rPr>
          <w:b/>
          <w:bCs/>
        </w:rPr>
        <w:t>Procedure for periodisk ajourføring og godkendelse</w:t>
      </w:r>
    </w:p>
    <w:p w14:paraId="27BA2BC8" w14:textId="48A9BBA3" w:rsidR="00533FBE" w:rsidRDefault="00533FBE" w:rsidP="005A11C1">
      <w:pPr>
        <w:spacing w:after="0" w:line="240" w:lineRule="auto"/>
      </w:pPr>
      <w:r>
        <w:t>Institutionens øverste ledelse skal mindst hvert 3. år revurdere og godkende den finansielle strategi.</w:t>
      </w:r>
    </w:p>
    <w:p w14:paraId="2E3C394B" w14:textId="77777777" w:rsidR="00E039B3" w:rsidRDefault="00E039B3" w:rsidP="005A11C1">
      <w:pPr>
        <w:spacing w:after="0" w:line="240" w:lineRule="auto"/>
      </w:pPr>
    </w:p>
    <w:p w14:paraId="456F3295" w14:textId="563A0F93" w:rsidR="00734F0A" w:rsidRDefault="00734F0A" w:rsidP="005A11C1">
      <w:pPr>
        <w:spacing w:after="0" w:line="240" w:lineRule="auto"/>
      </w:pPr>
    </w:p>
    <w:p w14:paraId="0C744E2D" w14:textId="66845D39" w:rsidR="00E039B3" w:rsidRDefault="00E039B3" w:rsidP="005A11C1">
      <w:pPr>
        <w:spacing w:after="0" w:line="240" w:lineRule="auto"/>
      </w:pPr>
      <w:r>
        <w:t xml:space="preserve">Fremlagt på bestyrelsesmøde den xx </w:t>
      </w:r>
    </w:p>
    <w:sectPr w:rsidR="00E039B3">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A3F2" w14:textId="77777777" w:rsidR="00E70C24" w:rsidRDefault="00E70C24" w:rsidP="005A11C1">
      <w:pPr>
        <w:spacing w:after="0" w:line="240" w:lineRule="auto"/>
      </w:pPr>
      <w:r>
        <w:separator/>
      </w:r>
    </w:p>
  </w:endnote>
  <w:endnote w:type="continuationSeparator" w:id="0">
    <w:p w14:paraId="32C4AC68" w14:textId="77777777" w:rsidR="00E70C24" w:rsidRDefault="00E70C24" w:rsidP="005A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FC12" w14:textId="77777777" w:rsidR="005A11C1" w:rsidRDefault="005A11C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8D2B" w14:textId="77777777" w:rsidR="005A11C1" w:rsidRDefault="005A11C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CBCE" w14:textId="77777777" w:rsidR="005A11C1" w:rsidRDefault="005A11C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B5E6" w14:textId="77777777" w:rsidR="00E70C24" w:rsidRDefault="00E70C24" w:rsidP="005A11C1">
      <w:pPr>
        <w:spacing w:after="0" w:line="240" w:lineRule="auto"/>
      </w:pPr>
      <w:r>
        <w:separator/>
      </w:r>
    </w:p>
  </w:footnote>
  <w:footnote w:type="continuationSeparator" w:id="0">
    <w:p w14:paraId="709D4E99" w14:textId="77777777" w:rsidR="00E70C24" w:rsidRDefault="00E70C24" w:rsidP="005A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3E75" w14:textId="64B26BAF" w:rsidR="005A11C1" w:rsidRDefault="00CB151C">
    <w:pPr>
      <w:pStyle w:val="Sidehoved"/>
    </w:pPr>
    <w:r>
      <w:rPr>
        <w:noProof/>
      </w:rPr>
      <w:pict w14:anchorId="2BDA0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07304" o:spid="_x0000_s2051" type="#_x0000_t136" alt="" style="position:absolute;margin-left:0;margin-top:0;width:509.55pt;height:169.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076" w14:textId="0E50B78E" w:rsidR="005A11C1" w:rsidRDefault="00CB151C">
    <w:pPr>
      <w:pStyle w:val="Sidehoved"/>
    </w:pPr>
    <w:r>
      <w:rPr>
        <w:noProof/>
      </w:rPr>
      <w:pict w14:anchorId="499E7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07305" o:spid="_x0000_s2050" type="#_x0000_t136" alt="" style="position:absolute;margin-left:0;margin-top:0;width:509.55pt;height:169.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E456" w14:textId="74C0343E" w:rsidR="005A11C1" w:rsidRDefault="00CB151C">
    <w:pPr>
      <w:pStyle w:val="Sidehoved"/>
    </w:pPr>
    <w:r>
      <w:rPr>
        <w:noProof/>
      </w:rPr>
      <w:pict w14:anchorId="0CA12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07303" o:spid="_x0000_s2049"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DD3"/>
    <w:multiLevelType w:val="hybridMultilevel"/>
    <w:tmpl w:val="3EE07356"/>
    <w:lvl w:ilvl="0" w:tplc="3170F59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2970B6"/>
    <w:multiLevelType w:val="hybridMultilevel"/>
    <w:tmpl w:val="84925B9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96D6117"/>
    <w:multiLevelType w:val="hybridMultilevel"/>
    <w:tmpl w:val="7EECA34E"/>
    <w:lvl w:ilvl="0" w:tplc="5E4E2D3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57180304">
    <w:abstractNumId w:val="2"/>
  </w:num>
  <w:num w:numId="2" w16cid:durableId="1749305373">
    <w:abstractNumId w:val="0"/>
  </w:num>
  <w:num w:numId="3" w16cid:durableId="1317564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4C"/>
    <w:rsid w:val="00025DE6"/>
    <w:rsid w:val="000340C1"/>
    <w:rsid w:val="000378F2"/>
    <w:rsid w:val="00044587"/>
    <w:rsid w:val="00047C3B"/>
    <w:rsid w:val="000526BF"/>
    <w:rsid w:val="00056788"/>
    <w:rsid w:val="00061F3A"/>
    <w:rsid w:val="00071FBC"/>
    <w:rsid w:val="00075035"/>
    <w:rsid w:val="00080D40"/>
    <w:rsid w:val="0008294D"/>
    <w:rsid w:val="000874B2"/>
    <w:rsid w:val="00087F42"/>
    <w:rsid w:val="0009038F"/>
    <w:rsid w:val="0009759E"/>
    <w:rsid w:val="000A1B40"/>
    <w:rsid w:val="000A6F5A"/>
    <w:rsid w:val="000B18CE"/>
    <w:rsid w:val="000B1E6F"/>
    <w:rsid w:val="000C0A41"/>
    <w:rsid w:val="000C45B4"/>
    <w:rsid w:val="000C5F59"/>
    <w:rsid w:val="000C6111"/>
    <w:rsid w:val="000C7705"/>
    <w:rsid w:val="000C79E1"/>
    <w:rsid w:val="000D65F3"/>
    <w:rsid w:val="000D6FEE"/>
    <w:rsid w:val="000E30C1"/>
    <w:rsid w:val="000F37EC"/>
    <w:rsid w:val="000F5596"/>
    <w:rsid w:val="00101B39"/>
    <w:rsid w:val="00103CD6"/>
    <w:rsid w:val="001045DF"/>
    <w:rsid w:val="001105E6"/>
    <w:rsid w:val="00110AB5"/>
    <w:rsid w:val="00117305"/>
    <w:rsid w:val="00122015"/>
    <w:rsid w:val="00126ACA"/>
    <w:rsid w:val="00143538"/>
    <w:rsid w:val="00153300"/>
    <w:rsid w:val="001601A9"/>
    <w:rsid w:val="00171E3A"/>
    <w:rsid w:val="00173138"/>
    <w:rsid w:val="00175332"/>
    <w:rsid w:val="00182A57"/>
    <w:rsid w:val="001836F8"/>
    <w:rsid w:val="001A1163"/>
    <w:rsid w:val="001A3EA9"/>
    <w:rsid w:val="001B14AE"/>
    <w:rsid w:val="001B2FCE"/>
    <w:rsid w:val="001B7340"/>
    <w:rsid w:val="001D1AEE"/>
    <w:rsid w:val="001D6F6E"/>
    <w:rsid w:val="001E4E08"/>
    <w:rsid w:val="002031CE"/>
    <w:rsid w:val="0020450C"/>
    <w:rsid w:val="00205E90"/>
    <w:rsid w:val="00207695"/>
    <w:rsid w:val="00213244"/>
    <w:rsid w:val="00216C6C"/>
    <w:rsid w:val="00222501"/>
    <w:rsid w:val="00226EC4"/>
    <w:rsid w:val="0023171C"/>
    <w:rsid w:val="00232150"/>
    <w:rsid w:val="002359AE"/>
    <w:rsid w:val="00240AE0"/>
    <w:rsid w:val="002520F7"/>
    <w:rsid w:val="0026490B"/>
    <w:rsid w:val="002651A4"/>
    <w:rsid w:val="002727A2"/>
    <w:rsid w:val="002802F6"/>
    <w:rsid w:val="002A0ABC"/>
    <w:rsid w:val="002A12DF"/>
    <w:rsid w:val="002B0B2C"/>
    <w:rsid w:val="002C6868"/>
    <w:rsid w:val="002C6B22"/>
    <w:rsid w:val="002D4DFA"/>
    <w:rsid w:val="002D6689"/>
    <w:rsid w:val="002D7440"/>
    <w:rsid w:val="00303F88"/>
    <w:rsid w:val="0030434A"/>
    <w:rsid w:val="00315B35"/>
    <w:rsid w:val="00320EC7"/>
    <w:rsid w:val="00342EB0"/>
    <w:rsid w:val="00350EEC"/>
    <w:rsid w:val="00350FAA"/>
    <w:rsid w:val="00360E97"/>
    <w:rsid w:val="003619D9"/>
    <w:rsid w:val="00372C95"/>
    <w:rsid w:val="003851F5"/>
    <w:rsid w:val="00390E0E"/>
    <w:rsid w:val="003A069C"/>
    <w:rsid w:val="003A711D"/>
    <w:rsid w:val="003A74C1"/>
    <w:rsid w:val="003B0D46"/>
    <w:rsid w:val="003B18AD"/>
    <w:rsid w:val="003B26BC"/>
    <w:rsid w:val="003B6690"/>
    <w:rsid w:val="003F13CB"/>
    <w:rsid w:val="003F3A23"/>
    <w:rsid w:val="003F3E2E"/>
    <w:rsid w:val="004158CB"/>
    <w:rsid w:val="00415A2D"/>
    <w:rsid w:val="004206E1"/>
    <w:rsid w:val="004270D9"/>
    <w:rsid w:val="00427A4C"/>
    <w:rsid w:val="00427E7B"/>
    <w:rsid w:val="004375C6"/>
    <w:rsid w:val="0043794F"/>
    <w:rsid w:val="004409C4"/>
    <w:rsid w:val="004542FC"/>
    <w:rsid w:val="00464371"/>
    <w:rsid w:val="00467725"/>
    <w:rsid w:val="00473002"/>
    <w:rsid w:val="004842D6"/>
    <w:rsid w:val="004875A6"/>
    <w:rsid w:val="00497169"/>
    <w:rsid w:val="004A4E2E"/>
    <w:rsid w:val="004B1914"/>
    <w:rsid w:val="004C289F"/>
    <w:rsid w:val="004C546C"/>
    <w:rsid w:val="004C600F"/>
    <w:rsid w:val="004C7CD9"/>
    <w:rsid w:val="004D4BCE"/>
    <w:rsid w:val="004D7012"/>
    <w:rsid w:val="004E0906"/>
    <w:rsid w:val="004E1BDA"/>
    <w:rsid w:val="004E1E48"/>
    <w:rsid w:val="004E6E94"/>
    <w:rsid w:val="0050050E"/>
    <w:rsid w:val="00505944"/>
    <w:rsid w:val="00524B51"/>
    <w:rsid w:val="005267F6"/>
    <w:rsid w:val="00527BDF"/>
    <w:rsid w:val="00527E14"/>
    <w:rsid w:val="00527F9F"/>
    <w:rsid w:val="00532E7D"/>
    <w:rsid w:val="00533FBE"/>
    <w:rsid w:val="0056180A"/>
    <w:rsid w:val="00567F06"/>
    <w:rsid w:val="005730B6"/>
    <w:rsid w:val="00574B7B"/>
    <w:rsid w:val="00576F6D"/>
    <w:rsid w:val="005805F2"/>
    <w:rsid w:val="005871E0"/>
    <w:rsid w:val="00597E6D"/>
    <w:rsid w:val="005A11C1"/>
    <w:rsid w:val="005A193D"/>
    <w:rsid w:val="005A4A88"/>
    <w:rsid w:val="005B41F8"/>
    <w:rsid w:val="005B6D6B"/>
    <w:rsid w:val="005C26E9"/>
    <w:rsid w:val="005C37AA"/>
    <w:rsid w:val="005D2ECD"/>
    <w:rsid w:val="005D4DFC"/>
    <w:rsid w:val="005D5559"/>
    <w:rsid w:val="005E15B5"/>
    <w:rsid w:val="005E5E5C"/>
    <w:rsid w:val="005E6343"/>
    <w:rsid w:val="00644B49"/>
    <w:rsid w:val="006515DA"/>
    <w:rsid w:val="00661778"/>
    <w:rsid w:val="00662C1F"/>
    <w:rsid w:val="00663906"/>
    <w:rsid w:val="00666BA9"/>
    <w:rsid w:val="00670923"/>
    <w:rsid w:val="0067488F"/>
    <w:rsid w:val="0068014E"/>
    <w:rsid w:val="00681B47"/>
    <w:rsid w:val="006975BA"/>
    <w:rsid w:val="006979BA"/>
    <w:rsid w:val="006A10CA"/>
    <w:rsid w:val="006A3CFD"/>
    <w:rsid w:val="006A7848"/>
    <w:rsid w:val="006B05D4"/>
    <w:rsid w:val="006B1FC1"/>
    <w:rsid w:val="006B2A7B"/>
    <w:rsid w:val="006B329C"/>
    <w:rsid w:val="006C4961"/>
    <w:rsid w:val="006C7217"/>
    <w:rsid w:val="006E423B"/>
    <w:rsid w:val="006E5027"/>
    <w:rsid w:val="006E5B57"/>
    <w:rsid w:val="006F0A17"/>
    <w:rsid w:val="006F3D97"/>
    <w:rsid w:val="00700F97"/>
    <w:rsid w:val="007043EC"/>
    <w:rsid w:val="007069F3"/>
    <w:rsid w:val="00707035"/>
    <w:rsid w:val="0071050A"/>
    <w:rsid w:val="00713A33"/>
    <w:rsid w:val="00716095"/>
    <w:rsid w:val="00734F0A"/>
    <w:rsid w:val="00741C6F"/>
    <w:rsid w:val="00763730"/>
    <w:rsid w:val="00764F7D"/>
    <w:rsid w:val="00776C51"/>
    <w:rsid w:val="007910F1"/>
    <w:rsid w:val="007936F8"/>
    <w:rsid w:val="007947AD"/>
    <w:rsid w:val="00795D2E"/>
    <w:rsid w:val="007A4429"/>
    <w:rsid w:val="007B3461"/>
    <w:rsid w:val="007B4BEC"/>
    <w:rsid w:val="007B6F58"/>
    <w:rsid w:val="007B79F6"/>
    <w:rsid w:val="007C7B3F"/>
    <w:rsid w:val="007D6129"/>
    <w:rsid w:val="007D6F46"/>
    <w:rsid w:val="007E1BBD"/>
    <w:rsid w:val="007F2C8C"/>
    <w:rsid w:val="007F5AE9"/>
    <w:rsid w:val="008100BF"/>
    <w:rsid w:val="00833557"/>
    <w:rsid w:val="00846D68"/>
    <w:rsid w:val="00847873"/>
    <w:rsid w:val="008555AD"/>
    <w:rsid w:val="00855971"/>
    <w:rsid w:val="008567C4"/>
    <w:rsid w:val="00877427"/>
    <w:rsid w:val="008856D2"/>
    <w:rsid w:val="008908DA"/>
    <w:rsid w:val="00890CAB"/>
    <w:rsid w:val="00891F0A"/>
    <w:rsid w:val="00892AA9"/>
    <w:rsid w:val="008975D3"/>
    <w:rsid w:val="008B41B1"/>
    <w:rsid w:val="008B4BBF"/>
    <w:rsid w:val="008C176C"/>
    <w:rsid w:val="008D2651"/>
    <w:rsid w:val="008D39C4"/>
    <w:rsid w:val="008F3295"/>
    <w:rsid w:val="008F69DE"/>
    <w:rsid w:val="00900837"/>
    <w:rsid w:val="00904D3A"/>
    <w:rsid w:val="009061C8"/>
    <w:rsid w:val="009179BB"/>
    <w:rsid w:val="00921707"/>
    <w:rsid w:val="00925670"/>
    <w:rsid w:val="00925A0A"/>
    <w:rsid w:val="009308C8"/>
    <w:rsid w:val="00937117"/>
    <w:rsid w:val="00961B12"/>
    <w:rsid w:val="00982C9A"/>
    <w:rsid w:val="00992D78"/>
    <w:rsid w:val="0099618A"/>
    <w:rsid w:val="009A026C"/>
    <w:rsid w:val="009A2DFD"/>
    <w:rsid w:val="009A3A8F"/>
    <w:rsid w:val="009A6ED7"/>
    <w:rsid w:val="009B04DB"/>
    <w:rsid w:val="009C0E10"/>
    <w:rsid w:val="009C312B"/>
    <w:rsid w:val="009D2A6C"/>
    <w:rsid w:val="009D4342"/>
    <w:rsid w:val="009E2B10"/>
    <w:rsid w:val="009E6618"/>
    <w:rsid w:val="009F029B"/>
    <w:rsid w:val="009F34ED"/>
    <w:rsid w:val="00A071E9"/>
    <w:rsid w:val="00A07903"/>
    <w:rsid w:val="00A47DA8"/>
    <w:rsid w:val="00A54D48"/>
    <w:rsid w:val="00A70624"/>
    <w:rsid w:val="00A77F54"/>
    <w:rsid w:val="00A85C74"/>
    <w:rsid w:val="00A90993"/>
    <w:rsid w:val="00AA24E9"/>
    <w:rsid w:val="00AB0593"/>
    <w:rsid w:val="00AB7F4B"/>
    <w:rsid w:val="00AE0B03"/>
    <w:rsid w:val="00AE374D"/>
    <w:rsid w:val="00AE3F82"/>
    <w:rsid w:val="00AE4A4C"/>
    <w:rsid w:val="00AE6B39"/>
    <w:rsid w:val="00AF267B"/>
    <w:rsid w:val="00AF5472"/>
    <w:rsid w:val="00AF6467"/>
    <w:rsid w:val="00B0156B"/>
    <w:rsid w:val="00B078C2"/>
    <w:rsid w:val="00B1074B"/>
    <w:rsid w:val="00B119B7"/>
    <w:rsid w:val="00B22312"/>
    <w:rsid w:val="00B239A8"/>
    <w:rsid w:val="00B26EB0"/>
    <w:rsid w:val="00B3233C"/>
    <w:rsid w:val="00B33A8C"/>
    <w:rsid w:val="00B34794"/>
    <w:rsid w:val="00B37597"/>
    <w:rsid w:val="00B42E36"/>
    <w:rsid w:val="00B4566B"/>
    <w:rsid w:val="00B518D0"/>
    <w:rsid w:val="00B6294B"/>
    <w:rsid w:val="00B62BCF"/>
    <w:rsid w:val="00B66FB8"/>
    <w:rsid w:val="00B708D0"/>
    <w:rsid w:val="00B72314"/>
    <w:rsid w:val="00B95AB1"/>
    <w:rsid w:val="00B97F04"/>
    <w:rsid w:val="00BA507D"/>
    <w:rsid w:val="00BA5705"/>
    <w:rsid w:val="00BB13D4"/>
    <w:rsid w:val="00BD461A"/>
    <w:rsid w:val="00BE19B1"/>
    <w:rsid w:val="00BE2E60"/>
    <w:rsid w:val="00C017CD"/>
    <w:rsid w:val="00C21183"/>
    <w:rsid w:val="00C212C4"/>
    <w:rsid w:val="00C25D4A"/>
    <w:rsid w:val="00C37B17"/>
    <w:rsid w:val="00C4057A"/>
    <w:rsid w:val="00C455BB"/>
    <w:rsid w:val="00C5528D"/>
    <w:rsid w:val="00C578C3"/>
    <w:rsid w:val="00C66DE5"/>
    <w:rsid w:val="00C70CCB"/>
    <w:rsid w:val="00C739C9"/>
    <w:rsid w:val="00C76322"/>
    <w:rsid w:val="00C81C41"/>
    <w:rsid w:val="00C936D5"/>
    <w:rsid w:val="00C9461A"/>
    <w:rsid w:val="00CA681F"/>
    <w:rsid w:val="00CB151C"/>
    <w:rsid w:val="00CB5156"/>
    <w:rsid w:val="00CC5FC6"/>
    <w:rsid w:val="00CC7BA9"/>
    <w:rsid w:val="00CD159E"/>
    <w:rsid w:val="00CD1728"/>
    <w:rsid w:val="00CE3365"/>
    <w:rsid w:val="00CE4429"/>
    <w:rsid w:val="00CE756B"/>
    <w:rsid w:val="00CF63E2"/>
    <w:rsid w:val="00CF772D"/>
    <w:rsid w:val="00D03A66"/>
    <w:rsid w:val="00D07846"/>
    <w:rsid w:val="00D11789"/>
    <w:rsid w:val="00D13155"/>
    <w:rsid w:val="00D13810"/>
    <w:rsid w:val="00D214BA"/>
    <w:rsid w:val="00D215D8"/>
    <w:rsid w:val="00D3649E"/>
    <w:rsid w:val="00D45708"/>
    <w:rsid w:val="00D54264"/>
    <w:rsid w:val="00D73AD1"/>
    <w:rsid w:val="00D87833"/>
    <w:rsid w:val="00D95587"/>
    <w:rsid w:val="00D9567F"/>
    <w:rsid w:val="00DA09F5"/>
    <w:rsid w:val="00DA118A"/>
    <w:rsid w:val="00DA1F3E"/>
    <w:rsid w:val="00DA4C87"/>
    <w:rsid w:val="00DA6B82"/>
    <w:rsid w:val="00DB239E"/>
    <w:rsid w:val="00DB45B8"/>
    <w:rsid w:val="00E002B2"/>
    <w:rsid w:val="00E035EF"/>
    <w:rsid w:val="00E039B3"/>
    <w:rsid w:val="00E21958"/>
    <w:rsid w:val="00E23A57"/>
    <w:rsid w:val="00E331B8"/>
    <w:rsid w:val="00E36107"/>
    <w:rsid w:val="00E47D67"/>
    <w:rsid w:val="00E540F0"/>
    <w:rsid w:val="00E55577"/>
    <w:rsid w:val="00E704B3"/>
    <w:rsid w:val="00E70C24"/>
    <w:rsid w:val="00E73956"/>
    <w:rsid w:val="00E74480"/>
    <w:rsid w:val="00E7483E"/>
    <w:rsid w:val="00E77828"/>
    <w:rsid w:val="00E9390B"/>
    <w:rsid w:val="00E96646"/>
    <w:rsid w:val="00EA1053"/>
    <w:rsid w:val="00EA1A1B"/>
    <w:rsid w:val="00EA4ECB"/>
    <w:rsid w:val="00EB6D4D"/>
    <w:rsid w:val="00EC2329"/>
    <w:rsid w:val="00EC7A07"/>
    <w:rsid w:val="00ED72F8"/>
    <w:rsid w:val="00EF1883"/>
    <w:rsid w:val="00F00497"/>
    <w:rsid w:val="00F10135"/>
    <w:rsid w:val="00F13FB1"/>
    <w:rsid w:val="00F142B8"/>
    <w:rsid w:val="00F22B31"/>
    <w:rsid w:val="00F2637A"/>
    <w:rsid w:val="00F2748D"/>
    <w:rsid w:val="00F31C55"/>
    <w:rsid w:val="00F460C3"/>
    <w:rsid w:val="00F52720"/>
    <w:rsid w:val="00F73508"/>
    <w:rsid w:val="00F914BC"/>
    <w:rsid w:val="00FA35E1"/>
    <w:rsid w:val="00FA78EE"/>
    <w:rsid w:val="00FA7B65"/>
    <w:rsid w:val="00FC43D0"/>
    <w:rsid w:val="00FC7B40"/>
    <w:rsid w:val="00FD21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C6402E"/>
  <w15:chartTrackingRefBased/>
  <w15:docId w15:val="{86D0AD6B-1526-42B0-8E61-8FAC5BD6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DOBodyText">
    <w:name w:val="BDO_Body Text"/>
    <w:basedOn w:val="Normal"/>
    <w:rsid w:val="00AE4A4C"/>
    <w:pPr>
      <w:spacing w:after="0" w:line="240" w:lineRule="auto"/>
    </w:pPr>
    <w:rPr>
      <w:rFonts w:ascii="Trebuchet MS" w:eastAsia="Times New Roman" w:hAnsi="Trebuchet MS" w:cs="Times New Roman"/>
      <w:sz w:val="20"/>
      <w:szCs w:val="24"/>
      <w:lang w:eastAsia="en-GB"/>
    </w:rPr>
  </w:style>
  <w:style w:type="paragraph" w:styleId="Listeafsnit">
    <w:name w:val="List Paragraph"/>
    <w:basedOn w:val="Normal"/>
    <w:uiPriority w:val="34"/>
    <w:qFormat/>
    <w:rsid w:val="00AE4A4C"/>
    <w:pPr>
      <w:spacing w:after="0" w:line="240" w:lineRule="auto"/>
      <w:ind w:left="720"/>
    </w:pPr>
    <w:rPr>
      <w:rFonts w:ascii="Calibri" w:eastAsia="Times New Roman" w:hAnsi="Calibri" w:cs="Times New Roman"/>
    </w:rPr>
  </w:style>
  <w:style w:type="paragraph" w:styleId="Sidehoved">
    <w:name w:val="header"/>
    <w:basedOn w:val="Normal"/>
    <w:link w:val="SidehovedTegn"/>
    <w:uiPriority w:val="99"/>
    <w:unhideWhenUsed/>
    <w:rsid w:val="005A11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A11C1"/>
  </w:style>
  <w:style w:type="paragraph" w:styleId="Sidefod">
    <w:name w:val="footer"/>
    <w:basedOn w:val="Normal"/>
    <w:link w:val="SidefodTegn"/>
    <w:uiPriority w:val="99"/>
    <w:unhideWhenUsed/>
    <w:rsid w:val="005A11C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A11C1"/>
  </w:style>
  <w:style w:type="paragraph" w:styleId="Markeringsbobletekst">
    <w:name w:val="Balloon Text"/>
    <w:basedOn w:val="Normal"/>
    <w:link w:val="MarkeringsbobletekstTegn"/>
    <w:uiPriority w:val="99"/>
    <w:semiHidden/>
    <w:unhideWhenUsed/>
    <w:rsid w:val="00533FB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33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6397</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Grønbæk Jakobsen</dc:creator>
  <cp:keywords/>
  <dc:description/>
  <cp:lastModifiedBy>Lars Larsen</cp:lastModifiedBy>
  <cp:revision>2</cp:revision>
  <dcterms:created xsi:type="dcterms:W3CDTF">2022-08-08T07:11:00Z</dcterms:created>
  <dcterms:modified xsi:type="dcterms:W3CDTF">2022-08-08T07:11:00Z</dcterms:modified>
</cp:coreProperties>
</file>